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0F" w:rsidRDefault="00C36BC9" w:rsidP="00C36BC9">
      <w:pPr>
        <w:pStyle w:val="Sansinterligne"/>
        <w:jc w:val="center"/>
        <w:rPr>
          <w:b/>
          <w:sz w:val="28"/>
          <w:szCs w:val="28"/>
        </w:rPr>
      </w:pPr>
      <w:r>
        <w:rPr>
          <w:b/>
          <w:sz w:val="28"/>
          <w:szCs w:val="28"/>
        </w:rPr>
        <w:t>Repères pastoraux auprès des personnes en fin de vie</w:t>
      </w:r>
    </w:p>
    <w:p w:rsidR="009A7322" w:rsidRDefault="009A7322" w:rsidP="00747FD7">
      <w:pPr>
        <w:pStyle w:val="Sansinterligne"/>
        <w:jc w:val="center"/>
        <w:rPr>
          <w:b/>
          <w:sz w:val="28"/>
          <w:szCs w:val="28"/>
        </w:rPr>
      </w:pPr>
      <w:r>
        <w:rPr>
          <w:b/>
          <w:sz w:val="28"/>
          <w:szCs w:val="28"/>
        </w:rPr>
        <w:t>Diacres permanents – Formation permanente</w:t>
      </w:r>
    </w:p>
    <w:p w:rsidR="009A7322" w:rsidRPr="00747FD7" w:rsidRDefault="00C36BC9" w:rsidP="00747FD7">
      <w:pPr>
        <w:pStyle w:val="Sansinterligne"/>
        <w:jc w:val="center"/>
        <w:rPr>
          <w:b/>
          <w:sz w:val="28"/>
          <w:szCs w:val="28"/>
        </w:rPr>
      </w:pPr>
      <w:r w:rsidRPr="00747FD7">
        <w:rPr>
          <w:b/>
          <w:sz w:val="28"/>
          <w:szCs w:val="28"/>
        </w:rPr>
        <w:t>Définitions</w:t>
      </w:r>
      <w:r>
        <w:rPr>
          <w:b/>
          <w:sz w:val="28"/>
          <w:szCs w:val="28"/>
        </w:rPr>
        <w:t xml:space="preserve"> </w:t>
      </w:r>
      <w:bookmarkStart w:id="0" w:name="_GoBack"/>
      <w:bookmarkEnd w:id="0"/>
    </w:p>
    <w:p w:rsidR="00747FD7" w:rsidRDefault="00B1074F" w:rsidP="00747FD7">
      <w:pPr>
        <w:rPr>
          <w:b/>
        </w:rPr>
      </w:pPr>
      <w:r w:rsidRPr="00747FD7">
        <w:rPr>
          <w:b/>
        </w:rPr>
        <w:t>Aptitude à consentir aux soins</w:t>
      </w:r>
    </w:p>
    <w:p w:rsidR="00B1074F" w:rsidRPr="00747FD7" w:rsidRDefault="00B1074F" w:rsidP="00747FD7">
      <w:r w:rsidRPr="00747FD7">
        <w:t xml:space="preserve">Capacité de </w:t>
      </w:r>
      <w:r w:rsidR="007F311B" w:rsidRPr="00747FD7">
        <w:t>l</w:t>
      </w:r>
      <w:r w:rsidRPr="00747FD7">
        <w:t>a personne à comprendre la nature de la maladie pour laquelle un traitement lui est proposé, la nature et le but du traitement, les risques et les avantages de celui-ci, qu’elle le reçoive ou non.</w:t>
      </w:r>
      <w:r w:rsidR="0093336D" w:rsidRPr="00747FD7">
        <w:t xml:space="preserve"> (Rapport Commission spéciale Mourir dans la dignité</w:t>
      </w:r>
      <w:r w:rsidR="00163CA0" w:rsidRPr="00747FD7">
        <w:t>.</w:t>
      </w:r>
      <w:r w:rsidR="0093336D" w:rsidRPr="00747FD7">
        <w:t xml:space="preserve"> Mars 2012)</w:t>
      </w:r>
    </w:p>
    <w:p w:rsidR="00747FD7" w:rsidRDefault="005F6D3B" w:rsidP="00747FD7">
      <w:pPr>
        <w:rPr>
          <w:b/>
        </w:rPr>
      </w:pPr>
      <w:r w:rsidRPr="00747FD7">
        <w:rPr>
          <w:b/>
        </w:rPr>
        <w:t>Acharnement thérapeutique</w:t>
      </w:r>
      <w:r w:rsidR="00C839F0" w:rsidRPr="00747FD7">
        <w:rPr>
          <w:b/>
        </w:rPr>
        <w:t xml:space="preserve"> (Obstination déraisonnable</w:t>
      </w:r>
      <w:r w:rsidR="008E490F" w:rsidRPr="00747FD7">
        <w:rPr>
          <w:b/>
        </w:rPr>
        <w:t>)</w:t>
      </w:r>
    </w:p>
    <w:p w:rsidR="008E490F" w:rsidRPr="00747FD7" w:rsidRDefault="007F311B" w:rsidP="00747FD7">
      <w:pPr>
        <w:rPr>
          <w:rStyle w:val="tgc"/>
          <w:rFonts w:cstheme="minorHAnsi"/>
        </w:rPr>
      </w:pPr>
      <w:r w:rsidRPr="00747FD7">
        <w:t>Recours à des moyens bi</w:t>
      </w:r>
      <w:r w:rsidR="00163CA0" w:rsidRPr="00747FD7">
        <w:t>omédicaux pour garder en</w:t>
      </w:r>
      <w:r w:rsidRPr="00747FD7">
        <w:t xml:space="preserve"> vie une personne, alors que celle-ci ne peut plus être guérie et qu’elle e</w:t>
      </w:r>
      <w:r w:rsidR="00163CA0" w:rsidRPr="00747FD7">
        <w:t>s</w:t>
      </w:r>
      <w:r w:rsidRPr="00747FD7">
        <w:t>t entrée dans la phase terminale de sa vie. Ces moyens so</w:t>
      </w:r>
      <w:r w:rsidR="008E490F" w:rsidRPr="00747FD7">
        <w:t>nt alors considérés comme dispro</w:t>
      </w:r>
      <w:r w:rsidRPr="00747FD7">
        <w:t>port</w:t>
      </w:r>
      <w:r w:rsidR="008E490F" w:rsidRPr="00747FD7">
        <w:t>ionnés</w:t>
      </w:r>
      <w:r w:rsidRPr="00747FD7">
        <w:t>, inutiles, futiles.</w:t>
      </w:r>
      <w:r w:rsidR="008E490F" w:rsidRPr="00747FD7">
        <w:t xml:space="preserve"> </w:t>
      </w:r>
      <w:r w:rsidR="008E490F" w:rsidRPr="00747FD7">
        <w:rPr>
          <w:rFonts w:cstheme="minorHAnsi"/>
        </w:rPr>
        <w:t>(Commission de l’éthique de la science et de la technologie. Document de réflexion. 13 octobre 2009)</w:t>
      </w:r>
    </w:p>
    <w:p w:rsidR="008E490F" w:rsidRPr="00747FD7" w:rsidRDefault="008E490F" w:rsidP="00747FD7">
      <w:pPr>
        <w:rPr>
          <w:rStyle w:val="tgc"/>
          <w:rFonts w:cstheme="minorHAnsi"/>
          <w:b/>
        </w:rPr>
      </w:pPr>
      <w:r w:rsidRPr="00747FD7">
        <w:rPr>
          <w:rStyle w:val="tgc"/>
          <w:rFonts w:cstheme="minorHAnsi"/>
          <w:b/>
        </w:rPr>
        <w:t>Abstention (ou refus) de traitement</w:t>
      </w:r>
    </w:p>
    <w:p w:rsidR="00DB78E6" w:rsidRPr="00747FD7" w:rsidRDefault="008E490F" w:rsidP="00747FD7">
      <w:pPr>
        <w:rPr>
          <w:rFonts w:cstheme="minorHAnsi"/>
        </w:rPr>
      </w:pPr>
      <w:r w:rsidRPr="00747FD7">
        <w:rPr>
          <w:rFonts w:cstheme="minorHAnsi"/>
        </w:rPr>
        <w:t>Il s’agit ici de ne pas amorcer des traitements, même si ces traitements sont</w:t>
      </w:r>
      <w:r w:rsidR="00747FD7">
        <w:rPr>
          <w:rFonts w:cstheme="minorHAnsi"/>
        </w:rPr>
        <w:t xml:space="preserve"> </w:t>
      </w:r>
      <w:r w:rsidRPr="00747FD7">
        <w:rPr>
          <w:rFonts w:cstheme="minorHAnsi"/>
        </w:rPr>
        <w:t xml:space="preserve">susceptibles de maintenir une personne en vie. Refuser d’entreprendre un traitement de chimiothérapie représente un exemple de refus de traitement. Soulignons que le refus peut venir de la personne elle-même ou de ses proches (si la personne est inapte). </w:t>
      </w:r>
      <w:r w:rsidR="00DB78E6" w:rsidRPr="00747FD7">
        <w:rPr>
          <w:rFonts w:cstheme="minorHAnsi"/>
        </w:rPr>
        <w:t>(Commission de l’éthique de la science et de la technologie. Document de réflexion. 13 octobre 2009)</w:t>
      </w:r>
    </w:p>
    <w:p w:rsidR="00B07640" w:rsidRPr="00747FD7" w:rsidRDefault="00B07640" w:rsidP="00747FD7">
      <w:pPr>
        <w:rPr>
          <w:b/>
        </w:rPr>
      </w:pPr>
      <w:r w:rsidRPr="00747FD7">
        <w:rPr>
          <w:b/>
        </w:rPr>
        <w:t>Aide médicale à mourir</w:t>
      </w:r>
    </w:p>
    <w:p w:rsidR="00B07640" w:rsidRPr="00747FD7" w:rsidRDefault="00B07640" w:rsidP="00747FD7">
      <w:r w:rsidRPr="00747FD7">
        <w:t>Un soin consistant en l’administration de médicaments ou de substances par un médecin à une personne en fin de vie, à la demande de celle-ci, dans le but de soulager ses souffrances en entraînant son décès. (Loi 2)</w:t>
      </w:r>
    </w:p>
    <w:p w:rsidR="006F170F" w:rsidRPr="00747FD7" w:rsidRDefault="006F170F" w:rsidP="00747FD7">
      <w:pPr>
        <w:rPr>
          <w:rStyle w:val="tgc"/>
          <w:rFonts w:cstheme="minorHAnsi"/>
          <w:b/>
        </w:rPr>
      </w:pPr>
      <w:r w:rsidRPr="00747FD7">
        <w:rPr>
          <w:rStyle w:val="tgc"/>
          <w:rFonts w:cstheme="minorHAnsi"/>
          <w:b/>
        </w:rPr>
        <w:t>Arrêt (ou cessation ou interruption) de traitement</w:t>
      </w:r>
    </w:p>
    <w:p w:rsidR="00DB78E6" w:rsidRPr="00747FD7" w:rsidRDefault="006F170F" w:rsidP="00747FD7">
      <w:pPr>
        <w:rPr>
          <w:rFonts w:cstheme="minorHAnsi"/>
        </w:rPr>
      </w:pPr>
      <w:r w:rsidRPr="00747FD7">
        <w:rPr>
          <w:rFonts w:cstheme="minorHAnsi"/>
        </w:rPr>
        <w:t>Fait de cesser des traitements, même si ces traitements sont susceptibles de maintenir une personne en vie. L’arrêt peut être fait par la personne elle-même, à sa demande (si elle ne peut</w:t>
      </w:r>
      <w:r w:rsidR="008E490F" w:rsidRPr="00747FD7">
        <w:rPr>
          <w:rFonts w:cstheme="minorHAnsi"/>
        </w:rPr>
        <w:t xml:space="preserve"> </w:t>
      </w:r>
      <w:r w:rsidRPr="00747FD7">
        <w:rPr>
          <w:rFonts w:cstheme="minorHAnsi"/>
        </w:rPr>
        <w:t>agir) ou par les proches d’une personne inapte</w:t>
      </w:r>
      <w:r w:rsidR="0093336D" w:rsidRPr="00747FD7">
        <w:rPr>
          <w:rFonts w:cstheme="minorHAnsi"/>
        </w:rPr>
        <w:t xml:space="preserve">. </w:t>
      </w:r>
      <w:r w:rsidR="00DB78E6" w:rsidRPr="00747FD7">
        <w:rPr>
          <w:rFonts w:cstheme="minorHAnsi"/>
        </w:rPr>
        <w:t>(Commission de l’éthique de la science et de la technologie. Document de réflexion. 13 octobre 2009)</w:t>
      </w:r>
    </w:p>
    <w:p w:rsidR="00DB78E6" w:rsidRPr="00747FD7" w:rsidRDefault="00DB78E6" w:rsidP="00747FD7">
      <w:pPr>
        <w:rPr>
          <w:rStyle w:val="tgc"/>
          <w:rFonts w:cstheme="minorHAnsi"/>
          <w:b/>
        </w:rPr>
      </w:pPr>
      <w:r w:rsidRPr="00747FD7">
        <w:rPr>
          <w:rStyle w:val="tgc"/>
          <w:rFonts w:cstheme="minorHAnsi"/>
          <w:b/>
        </w:rPr>
        <w:t>Directives médicales anticipées</w:t>
      </w:r>
    </w:p>
    <w:p w:rsidR="00DB78E6" w:rsidRDefault="00DB78E6" w:rsidP="00747FD7">
      <w:r w:rsidRPr="00747FD7">
        <w:rPr>
          <w:rStyle w:val="tgc"/>
          <w:rFonts w:cstheme="minorHAnsi"/>
        </w:rPr>
        <w:t>Instruction que donne une personne apte, par écrit ou autrement, sur les décisions à prend</w:t>
      </w:r>
      <w:r w:rsidR="00163CA0" w:rsidRPr="00747FD7">
        <w:rPr>
          <w:rStyle w:val="tgc"/>
          <w:rFonts w:cstheme="minorHAnsi"/>
        </w:rPr>
        <w:t>r</w:t>
      </w:r>
      <w:r w:rsidRPr="00747FD7">
        <w:rPr>
          <w:rStyle w:val="tgc"/>
          <w:rFonts w:cstheme="minorHAnsi"/>
        </w:rPr>
        <w:t xml:space="preserve">e en matière de soins dans l’éventualité où elle ne serait plus en mesure de </w:t>
      </w:r>
      <w:r w:rsidR="00163CA0" w:rsidRPr="00747FD7">
        <w:rPr>
          <w:rStyle w:val="tgc"/>
          <w:rFonts w:cstheme="minorHAnsi"/>
        </w:rPr>
        <w:t>l</w:t>
      </w:r>
      <w:r w:rsidRPr="00747FD7">
        <w:rPr>
          <w:rStyle w:val="tgc"/>
          <w:rFonts w:cstheme="minorHAnsi"/>
        </w:rPr>
        <w:t>es p</w:t>
      </w:r>
      <w:r w:rsidR="00CE0704">
        <w:rPr>
          <w:rStyle w:val="tgc"/>
          <w:rFonts w:cstheme="minorHAnsi"/>
        </w:rPr>
        <w:t>r</w:t>
      </w:r>
      <w:r w:rsidRPr="00747FD7">
        <w:rPr>
          <w:rStyle w:val="tgc"/>
          <w:rFonts w:cstheme="minorHAnsi"/>
        </w:rPr>
        <w:t>endre elle-même.</w:t>
      </w:r>
      <w:r w:rsidRPr="00747FD7">
        <w:t xml:space="preserve"> (Rapport Commission spéciale Mourir dans la dignité</w:t>
      </w:r>
      <w:r w:rsidR="00163CA0" w:rsidRPr="00747FD7">
        <w:t>.</w:t>
      </w:r>
      <w:r w:rsidRPr="00747FD7">
        <w:t xml:space="preserve"> Mars 2012)</w:t>
      </w:r>
    </w:p>
    <w:p w:rsidR="009A7322" w:rsidRDefault="009A7322" w:rsidP="00747FD7"/>
    <w:p w:rsidR="009A7322" w:rsidRDefault="009A7322" w:rsidP="00747FD7"/>
    <w:p w:rsidR="008E490F" w:rsidRPr="00747FD7" w:rsidRDefault="008E490F" w:rsidP="00747FD7">
      <w:pPr>
        <w:rPr>
          <w:b/>
        </w:rPr>
      </w:pPr>
      <w:r w:rsidRPr="00747FD7">
        <w:rPr>
          <w:b/>
        </w:rPr>
        <w:lastRenderedPageBreak/>
        <w:t>Euthanasie</w:t>
      </w:r>
    </w:p>
    <w:p w:rsidR="0093336D" w:rsidRPr="00747FD7" w:rsidRDefault="008E490F" w:rsidP="00747FD7">
      <w:pPr>
        <w:rPr>
          <w:rFonts w:cstheme="minorHAnsi"/>
        </w:rPr>
      </w:pPr>
      <w:r w:rsidRPr="00747FD7">
        <w:t>Acte qui consiste à provoquer intentionnellement la mort d’autrui pour mettre fin à ses souffrances.</w:t>
      </w:r>
      <w:r w:rsidR="0093336D" w:rsidRPr="00747FD7">
        <w:rPr>
          <w:rFonts w:cstheme="minorHAnsi"/>
        </w:rPr>
        <w:t xml:space="preserve"> (Commission de l’éthique de la science et de la technologie. Document de réflexion. 13 octobre 2009)</w:t>
      </w:r>
    </w:p>
    <w:p w:rsidR="00B07640" w:rsidRPr="00747FD7" w:rsidRDefault="00B07640" w:rsidP="00747FD7">
      <w:pPr>
        <w:rPr>
          <w:b/>
        </w:rPr>
      </w:pPr>
      <w:r w:rsidRPr="00747FD7">
        <w:rPr>
          <w:b/>
        </w:rPr>
        <w:t>Objection de conscience</w:t>
      </w:r>
    </w:p>
    <w:p w:rsidR="00B07640" w:rsidRPr="00747FD7" w:rsidRDefault="00B07640" w:rsidP="00747FD7">
      <w:pPr>
        <w:rPr>
          <w:rFonts w:cstheme="minorHAnsi"/>
        </w:rPr>
      </w:pPr>
      <w:r w:rsidRPr="00747FD7">
        <w:rPr>
          <w:rFonts w:cstheme="minorHAnsi"/>
        </w:rPr>
        <w:t>Un acte personnel de refus d'accomplir certains actes allant à l'encontre d'impératifs religieux, moraux ou éthiques dictés par sa conscience. (Web)</w:t>
      </w:r>
    </w:p>
    <w:p w:rsidR="00B32550" w:rsidRPr="00747FD7" w:rsidRDefault="00B32550" w:rsidP="00747FD7">
      <w:pPr>
        <w:rPr>
          <w:b/>
        </w:rPr>
      </w:pPr>
      <w:r w:rsidRPr="00747FD7">
        <w:rPr>
          <w:b/>
        </w:rPr>
        <w:t>Sédation palliative continue</w:t>
      </w:r>
    </w:p>
    <w:p w:rsidR="00163CA0" w:rsidRPr="00747FD7" w:rsidRDefault="00B32550" w:rsidP="00747FD7">
      <w:r w:rsidRPr="00747FD7">
        <w:t>Un soin offert dans le cadre des soins palliatifs consistant en l’administration de médicaments ou de substances à une personne en fin de vie dans le but de soulager ses souffra</w:t>
      </w:r>
      <w:r w:rsidR="00163CA0" w:rsidRPr="00747FD7">
        <w:t>nces en la rendant inconsciente.</w:t>
      </w:r>
      <w:r w:rsidRPr="00747FD7">
        <w:t xml:space="preserve"> </w:t>
      </w:r>
      <w:r w:rsidR="00163CA0" w:rsidRPr="00747FD7">
        <w:t>(Rapport Commission spéciale Mourir dans la dignité. Mars 2012)</w:t>
      </w:r>
    </w:p>
    <w:p w:rsidR="00B32550" w:rsidRPr="00747FD7" w:rsidRDefault="00B32550" w:rsidP="00747FD7">
      <w:pPr>
        <w:rPr>
          <w:rStyle w:val="tgc"/>
          <w:rFonts w:cstheme="minorHAnsi"/>
          <w:b/>
        </w:rPr>
      </w:pPr>
      <w:r w:rsidRPr="00747FD7">
        <w:rPr>
          <w:rStyle w:val="tgc"/>
          <w:rFonts w:cstheme="minorHAnsi"/>
          <w:b/>
        </w:rPr>
        <w:t>Sédation palliative intermittente</w:t>
      </w:r>
    </w:p>
    <w:p w:rsidR="00B32550" w:rsidRPr="00747FD7" w:rsidRDefault="00B32550" w:rsidP="00747FD7">
      <w:r w:rsidRPr="00747FD7">
        <w:rPr>
          <w:rStyle w:val="tgc"/>
          <w:rFonts w:cstheme="minorHAnsi"/>
        </w:rPr>
        <w:t xml:space="preserve">Administration d’une médication à une personne, avec alternance de périodes d’éveil et de sommeil dans le but de soulager la douleur en la rendant inconsciente. </w:t>
      </w:r>
      <w:r w:rsidRPr="00747FD7">
        <w:t>(Rapport Commission spéciale Mourir dans la dignité</w:t>
      </w:r>
      <w:r w:rsidR="00163CA0" w:rsidRPr="00747FD7">
        <w:t>.</w:t>
      </w:r>
      <w:r w:rsidRPr="00747FD7">
        <w:t xml:space="preserve"> Mars 2012)</w:t>
      </w:r>
    </w:p>
    <w:p w:rsidR="00A7301E" w:rsidRPr="00747FD7" w:rsidRDefault="00A7301E" w:rsidP="00747FD7">
      <w:pPr>
        <w:rPr>
          <w:b/>
        </w:rPr>
      </w:pPr>
      <w:r w:rsidRPr="00747FD7">
        <w:rPr>
          <w:b/>
        </w:rPr>
        <w:t>Soins de fin de vie</w:t>
      </w:r>
    </w:p>
    <w:p w:rsidR="00A7301E" w:rsidRPr="00747FD7" w:rsidRDefault="00A7301E" w:rsidP="00747FD7">
      <w:r w:rsidRPr="00747FD7">
        <w:t>Les soins palliatifs offerts aux personnes en fin de vie et</w:t>
      </w:r>
      <w:r w:rsidR="005F6D3B" w:rsidRPr="00747FD7">
        <w:t xml:space="preserve"> </w:t>
      </w:r>
      <w:r w:rsidRPr="00747FD7">
        <w:t>l</w:t>
      </w:r>
      <w:r w:rsidR="005F6D3B" w:rsidRPr="00747FD7">
        <w:t>’a</w:t>
      </w:r>
      <w:r w:rsidR="00163CA0" w:rsidRPr="00747FD7">
        <w:t>ide médicale à</w:t>
      </w:r>
      <w:r w:rsidRPr="00747FD7">
        <w:t xml:space="preserve"> mourir</w:t>
      </w:r>
      <w:r w:rsidR="00780B1A" w:rsidRPr="00747FD7">
        <w:t>. (Loi 2)</w:t>
      </w:r>
    </w:p>
    <w:p w:rsidR="00A7301E" w:rsidRPr="00747FD7" w:rsidRDefault="00A7301E" w:rsidP="00747FD7">
      <w:pPr>
        <w:rPr>
          <w:b/>
        </w:rPr>
      </w:pPr>
      <w:r w:rsidRPr="00747FD7">
        <w:rPr>
          <w:b/>
        </w:rPr>
        <w:t>Soins palliatifs</w:t>
      </w:r>
    </w:p>
    <w:p w:rsidR="00A7301E" w:rsidRPr="00747FD7" w:rsidRDefault="00A7301E" w:rsidP="00747FD7">
      <w:r w:rsidRPr="00747FD7">
        <w:t>Les soins actifs et globaux dispensés par une équipe interdisciplinaire aux personnes atteintes d’une maladie avec pronostic réservé dans le but de soulager leurs souffrances, sans hâter ni retarder la mort, de les aider à conserver la meilleure qualité de vie possible et d’offrir à ces personnes et à leurs proches le soutien nécessaire.</w:t>
      </w:r>
      <w:r w:rsidR="005F6D3B" w:rsidRPr="00747FD7">
        <w:t xml:space="preserve"> (Loi 2)</w:t>
      </w:r>
    </w:p>
    <w:p w:rsidR="006F170F" w:rsidRPr="00747FD7" w:rsidRDefault="006F170F" w:rsidP="00747FD7">
      <w:pPr>
        <w:rPr>
          <w:b/>
        </w:rPr>
      </w:pPr>
      <w:r w:rsidRPr="00747FD7">
        <w:rPr>
          <w:b/>
        </w:rPr>
        <w:t>Suicide assisté</w:t>
      </w:r>
    </w:p>
    <w:p w:rsidR="006F170F" w:rsidRPr="00747FD7" w:rsidRDefault="006F170F" w:rsidP="00747FD7">
      <w:pPr>
        <w:rPr>
          <w:rFonts w:cstheme="minorHAnsi"/>
        </w:rPr>
      </w:pPr>
      <w:r w:rsidRPr="00747FD7">
        <w:rPr>
          <w:rFonts w:cstheme="minorHAnsi"/>
        </w:rPr>
        <w:t>Aide au suicide (ou suicide assisté) / aide médicale au suicide (ou suicide</w:t>
      </w:r>
      <w:r w:rsidR="00747FD7">
        <w:rPr>
          <w:rFonts w:cstheme="minorHAnsi"/>
        </w:rPr>
        <w:t xml:space="preserve"> </w:t>
      </w:r>
      <w:r w:rsidRPr="00747FD7">
        <w:rPr>
          <w:rFonts w:cstheme="minorHAnsi"/>
        </w:rPr>
        <w:t>médicalement assisté). Fait d’aider quelqu'un à se donner volontairement la mort en lui fournissant les renseignements ou les moyens nécessaires, ou les deux. (Commission de l’éthique de la science et de la technologie. Document de réflexion. 13 octobre 2009)</w:t>
      </w:r>
    </w:p>
    <w:p w:rsidR="00B07640" w:rsidRPr="00747FD7" w:rsidRDefault="00B07640" w:rsidP="00747FD7">
      <w:pPr>
        <w:rPr>
          <w:rFonts w:cstheme="minorHAnsi"/>
        </w:rPr>
      </w:pPr>
    </w:p>
    <w:sectPr w:rsidR="00B07640" w:rsidRPr="00747FD7" w:rsidSect="001D50D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5DA" w:rsidRDefault="006E65DA" w:rsidP="00686A3C">
      <w:pPr>
        <w:spacing w:after="0" w:line="240" w:lineRule="auto"/>
      </w:pPr>
      <w:r>
        <w:separator/>
      </w:r>
    </w:p>
  </w:endnote>
  <w:endnote w:type="continuationSeparator" w:id="0">
    <w:p w:rsidR="006E65DA" w:rsidRDefault="006E65DA" w:rsidP="0068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greya">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A3C" w:rsidRDefault="00686A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5DA" w:rsidRDefault="006E65DA" w:rsidP="00686A3C">
      <w:pPr>
        <w:spacing w:after="0" w:line="240" w:lineRule="auto"/>
      </w:pPr>
      <w:r>
        <w:separator/>
      </w:r>
    </w:p>
  </w:footnote>
  <w:footnote w:type="continuationSeparator" w:id="0">
    <w:p w:rsidR="006E65DA" w:rsidRDefault="006E65DA" w:rsidP="00686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7EBF"/>
    <w:multiLevelType w:val="multilevel"/>
    <w:tmpl w:val="7BF8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75"/>
    <w:rsid w:val="0000192E"/>
    <w:rsid w:val="00021418"/>
    <w:rsid w:val="00032CB2"/>
    <w:rsid w:val="00045E47"/>
    <w:rsid w:val="00056ADF"/>
    <w:rsid w:val="000714FC"/>
    <w:rsid w:val="00073B1E"/>
    <w:rsid w:val="000751C0"/>
    <w:rsid w:val="000A3272"/>
    <w:rsid w:val="000E2EB1"/>
    <w:rsid w:val="000F7DA4"/>
    <w:rsid w:val="0010272E"/>
    <w:rsid w:val="0011490B"/>
    <w:rsid w:val="00140576"/>
    <w:rsid w:val="0016299C"/>
    <w:rsid w:val="00163CA0"/>
    <w:rsid w:val="00163D2D"/>
    <w:rsid w:val="00184C63"/>
    <w:rsid w:val="0019360B"/>
    <w:rsid w:val="0019395E"/>
    <w:rsid w:val="00193DE3"/>
    <w:rsid w:val="00197F07"/>
    <w:rsid w:val="001A6B39"/>
    <w:rsid w:val="001C73F0"/>
    <w:rsid w:val="001D4529"/>
    <w:rsid w:val="001D4D29"/>
    <w:rsid w:val="001D50D1"/>
    <w:rsid w:val="001E0BDC"/>
    <w:rsid w:val="001F18D4"/>
    <w:rsid w:val="001F2E3D"/>
    <w:rsid w:val="001F7338"/>
    <w:rsid w:val="00204482"/>
    <w:rsid w:val="00211D20"/>
    <w:rsid w:val="00212AF5"/>
    <w:rsid w:val="00214804"/>
    <w:rsid w:val="002167EB"/>
    <w:rsid w:val="00221ACA"/>
    <w:rsid w:val="0024741E"/>
    <w:rsid w:val="00284191"/>
    <w:rsid w:val="002B6ED3"/>
    <w:rsid w:val="002C2DE4"/>
    <w:rsid w:val="00326CEA"/>
    <w:rsid w:val="00331C04"/>
    <w:rsid w:val="00340B3B"/>
    <w:rsid w:val="00352455"/>
    <w:rsid w:val="0036685A"/>
    <w:rsid w:val="003774EF"/>
    <w:rsid w:val="003871A0"/>
    <w:rsid w:val="003969EF"/>
    <w:rsid w:val="00397619"/>
    <w:rsid w:val="003B585C"/>
    <w:rsid w:val="003C5642"/>
    <w:rsid w:val="003C692C"/>
    <w:rsid w:val="003F1B6D"/>
    <w:rsid w:val="00410A73"/>
    <w:rsid w:val="00425F5E"/>
    <w:rsid w:val="00476B41"/>
    <w:rsid w:val="0048649C"/>
    <w:rsid w:val="0049193B"/>
    <w:rsid w:val="00496A1D"/>
    <w:rsid w:val="004A60B8"/>
    <w:rsid w:val="004C3BD0"/>
    <w:rsid w:val="004E2DB9"/>
    <w:rsid w:val="004E3D1F"/>
    <w:rsid w:val="004E47EF"/>
    <w:rsid w:val="00505A99"/>
    <w:rsid w:val="005440E1"/>
    <w:rsid w:val="005564D5"/>
    <w:rsid w:val="00557EEC"/>
    <w:rsid w:val="00563493"/>
    <w:rsid w:val="00565091"/>
    <w:rsid w:val="00575057"/>
    <w:rsid w:val="005937CD"/>
    <w:rsid w:val="00593976"/>
    <w:rsid w:val="005B65C1"/>
    <w:rsid w:val="005B7BDA"/>
    <w:rsid w:val="005B7F72"/>
    <w:rsid w:val="005D263A"/>
    <w:rsid w:val="005F36FA"/>
    <w:rsid w:val="005F6D3B"/>
    <w:rsid w:val="00600CFB"/>
    <w:rsid w:val="006033C3"/>
    <w:rsid w:val="00615B37"/>
    <w:rsid w:val="006173C3"/>
    <w:rsid w:val="006202A5"/>
    <w:rsid w:val="006228B9"/>
    <w:rsid w:val="00624A7F"/>
    <w:rsid w:val="0063159A"/>
    <w:rsid w:val="0065261E"/>
    <w:rsid w:val="0067021A"/>
    <w:rsid w:val="00680948"/>
    <w:rsid w:val="00686A3C"/>
    <w:rsid w:val="006A4677"/>
    <w:rsid w:val="006A75D6"/>
    <w:rsid w:val="006B66DB"/>
    <w:rsid w:val="006D5F25"/>
    <w:rsid w:val="006E65DA"/>
    <w:rsid w:val="006F12CC"/>
    <w:rsid w:val="006F170F"/>
    <w:rsid w:val="00707442"/>
    <w:rsid w:val="007107E5"/>
    <w:rsid w:val="00722882"/>
    <w:rsid w:val="00747FD7"/>
    <w:rsid w:val="0075093D"/>
    <w:rsid w:val="00752492"/>
    <w:rsid w:val="007603CC"/>
    <w:rsid w:val="00766A00"/>
    <w:rsid w:val="00780B1A"/>
    <w:rsid w:val="007A12DF"/>
    <w:rsid w:val="007A1AA9"/>
    <w:rsid w:val="007D281D"/>
    <w:rsid w:val="007E2696"/>
    <w:rsid w:val="007E4A54"/>
    <w:rsid w:val="007F120A"/>
    <w:rsid w:val="007F311B"/>
    <w:rsid w:val="0080026B"/>
    <w:rsid w:val="00802925"/>
    <w:rsid w:val="00803682"/>
    <w:rsid w:val="00812E5A"/>
    <w:rsid w:val="0083735D"/>
    <w:rsid w:val="00841567"/>
    <w:rsid w:val="00846C81"/>
    <w:rsid w:val="00852F59"/>
    <w:rsid w:val="0085625D"/>
    <w:rsid w:val="008609DC"/>
    <w:rsid w:val="00866609"/>
    <w:rsid w:val="00876244"/>
    <w:rsid w:val="0089271A"/>
    <w:rsid w:val="008939A1"/>
    <w:rsid w:val="008A3755"/>
    <w:rsid w:val="008C1519"/>
    <w:rsid w:val="008D6058"/>
    <w:rsid w:val="008E4806"/>
    <w:rsid w:val="008E490F"/>
    <w:rsid w:val="008E6C9B"/>
    <w:rsid w:val="008E7EC4"/>
    <w:rsid w:val="00910A0E"/>
    <w:rsid w:val="00916F39"/>
    <w:rsid w:val="00926339"/>
    <w:rsid w:val="00931B6C"/>
    <w:rsid w:val="0093336D"/>
    <w:rsid w:val="00941911"/>
    <w:rsid w:val="00951757"/>
    <w:rsid w:val="00973CE9"/>
    <w:rsid w:val="00984448"/>
    <w:rsid w:val="00997839"/>
    <w:rsid w:val="009A7322"/>
    <w:rsid w:val="009D2541"/>
    <w:rsid w:val="00A03C75"/>
    <w:rsid w:val="00A27E66"/>
    <w:rsid w:val="00A35137"/>
    <w:rsid w:val="00A40F0A"/>
    <w:rsid w:val="00A54798"/>
    <w:rsid w:val="00A67E32"/>
    <w:rsid w:val="00A7301E"/>
    <w:rsid w:val="00A87BC6"/>
    <w:rsid w:val="00A9254C"/>
    <w:rsid w:val="00A9364F"/>
    <w:rsid w:val="00AA5B86"/>
    <w:rsid w:val="00AB7D77"/>
    <w:rsid w:val="00AD3AFC"/>
    <w:rsid w:val="00AE004C"/>
    <w:rsid w:val="00AF2419"/>
    <w:rsid w:val="00AF3E05"/>
    <w:rsid w:val="00B06321"/>
    <w:rsid w:val="00B07640"/>
    <w:rsid w:val="00B1074F"/>
    <w:rsid w:val="00B26C58"/>
    <w:rsid w:val="00B32550"/>
    <w:rsid w:val="00B3470B"/>
    <w:rsid w:val="00B86FF0"/>
    <w:rsid w:val="00B90BD5"/>
    <w:rsid w:val="00B91BF0"/>
    <w:rsid w:val="00B97735"/>
    <w:rsid w:val="00BA7701"/>
    <w:rsid w:val="00BB5C1B"/>
    <w:rsid w:val="00BC1A1E"/>
    <w:rsid w:val="00BC5211"/>
    <w:rsid w:val="00BE1078"/>
    <w:rsid w:val="00BE2D71"/>
    <w:rsid w:val="00BE3D30"/>
    <w:rsid w:val="00BE7E14"/>
    <w:rsid w:val="00BF13B6"/>
    <w:rsid w:val="00BF1DEB"/>
    <w:rsid w:val="00C2651B"/>
    <w:rsid w:val="00C27D85"/>
    <w:rsid w:val="00C36BC9"/>
    <w:rsid w:val="00C75764"/>
    <w:rsid w:val="00C839F0"/>
    <w:rsid w:val="00C9212E"/>
    <w:rsid w:val="00CA3AD3"/>
    <w:rsid w:val="00CB45B4"/>
    <w:rsid w:val="00CC2241"/>
    <w:rsid w:val="00CD3EA4"/>
    <w:rsid w:val="00CD4267"/>
    <w:rsid w:val="00CE0704"/>
    <w:rsid w:val="00CE7F0B"/>
    <w:rsid w:val="00D04C2E"/>
    <w:rsid w:val="00D04D7C"/>
    <w:rsid w:val="00D062FB"/>
    <w:rsid w:val="00D42206"/>
    <w:rsid w:val="00D71200"/>
    <w:rsid w:val="00D76BC6"/>
    <w:rsid w:val="00D852F7"/>
    <w:rsid w:val="00DB78E6"/>
    <w:rsid w:val="00DC1A53"/>
    <w:rsid w:val="00DD417A"/>
    <w:rsid w:val="00DD6EBD"/>
    <w:rsid w:val="00DF0366"/>
    <w:rsid w:val="00DF55FA"/>
    <w:rsid w:val="00DF75D7"/>
    <w:rsid w:val="00E0622E"/>
    <w:rsid w:val="00E35FBB"/>
    <w:rsid w:val="00E42EE2"/>
    <w:rsid w:val="00E52D97"/>
    <w:rsid w:val="00E547BE"/>
    <w:rsid w:val="00E54E54"/>
    <w:rsid w:val="00E55DAB"/>
    <w:rsid w:val="00E6171E"/>
    <w:rsid w:val="00E67C2E"/>
    <w:rsid w:val="00E91C01"/>
    <w:rsid w:val="00E94CB5"/>
    <w:rsid w:val="00EB5B7F"/>
    <w:rsid w:val="00EC1E91"/>
    <w:rsid w:val="00EE73F7"/>
    <w:rsid w:val="00EF1AD1"/>
    <w:rsid w:val="00EF3581"/>
    <w:rsid w:val="00F006CF"/>
    <w:rsid w:val="00F02DC7"/>
    <w:rsid w:val="00F240A4"/>
    <w:rsid w:val="00F35C57"/>
    <w:rsid w:val="00F4186B"/>
    <w:rsid w:val="00F50A64"/>
    <w:rsid w:val="00F556B7"/>
    <w:rsid w:val="00F930C5"/>
    <w:rsid w:val="00FA2A27"/>
    <w:rsid w:val="00FB2ABB"/>
    <w:rsid w:val="00FC2C3E"/>
    <w:rsid w:val="00FC4202"/>
    <w:rsid w:val="00FF38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D92F"/>
  <w15:docId w15:val="{0E78FB07-A518-4E41-9EEA-216C28EC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0D1"/>
  </w:style>
  <w:style w:type="paragraph" w:styleId="Titre2">
    <w:name w:val="heading 2"/>
    <w:basedOn w:val="Normal"/>
    <w:link w:val="Titre2Car"/>
    <w:uiPriority w:val="9"/>
    <w:qFormat/>
    <w:rsid w:val="00C839F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39F0"/>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C839F0"/>
    <w:rPr>
      <w:color w:val="0000FF"/>
      <w:u w:val="single"/>
    </w:rPr>
  </w:style>
  <w:style w:type="paragraph" w:styleId="NormalWeb">
    <w:name w:val="Normal (Web)"/>
    <w:basedOn w:val="Normal"/>
    <w:uiPriority w:val="99"/>
    <w:semiHidden/>
    <w:unhideWhenUsed/>
    <w:rsid w:val="00C839F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839F0"/>
    <w:rPr>
      <w:b/>
      <w:bCs/>
    </w:rPr>
  </w:style>
  <w:style w:type="character" w:customStyle="1" w:styleId="tgc">
    <w:name w:val="_tgc"/>
    <w:basedOn w:val="Policepardfaut"/>
    <w:rsid w:val="00505A99"/>
  </w:style>
  <w:style w:type="character" w:customStyle="1" w:styleId="renvoifakeno">
    <w:name w:val="renvoi_fake_no"/>
    <w:basedOn w:val="Policepardfaut"/>
    <w:rsid w:val="009D2541"/>
  </w:style>
  <w:style w:type="character" w:customStyle="1" w:styleId="titlelittleblue2">
    <w:name w:val="title_little_blue2"/>
    <w:basedOn w:val="Policepardfaut"/>
    <w:rsid w:val="009D2541"/>
    <w:rPr>
      <w:rFonts w:ascii="Alegreya" w:hAnsi="Alegreya" w:hint="default"/>
      <w:b/>
      <w:bCs/>
      <w:color w:val="4BB2AC"/>
      <w:sz w:val="30"/>
      <w:szCs w:val="30"/>
    </w:rPr>
  </w:style>
  <w:style w:type="paragraph" w:styleId="Sansinterligne">
    <w:name w:val="No Spacing"/>
    <w:uiPriority w:val="1"/>
    <w:qFormat/>
    <w:rsid w:val="00F556B7"/>
    <w:pPr>
      <w:spacing w:after="0" w:line="240" w:lineRule="auto"/>
    </w:pPr>
  </w:style>
  <w:style w:type="paragraph" w:styleId="En-tte">
    <w:name w:val="header"/>
    <w:basedOn w:val="Normal"/>
    <w:link w:val="En-tteCar"/>
    <w:uiPriority w:val="99"/>
    <w:semiHidden/>
    <w:unhideWhenUsed/>
    <w:rsid w:val="00686A3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86A3C"/>
  </w:style>
  <w:style w:type="paragraph" w:styleId="Pieddepage">
    <w:name w:val="footer"/>
    <w:basedOn w:val="Normal"/>
    <w:link w:val="PieddepageCar"/>
    <w:uiPriority w:val="99"/>
    <w:unhideWhenUsed/>
    <w:rsid w:val="00686A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900738">
      <w:bodyDiv w:val="1"/>
      <w:marLeft w:val="0"/>
      <w:marRight w:val="0"/>
      <w:marTop w:val="0"/>
      <w:marBottom w:val="0"/>
      <w:divBdr>
        <w:top w:val="none" w:sz="0" w:space="0" w:color="auto"/>
        <w:left w:val="none" w:sz="0" w:space="0" w:color="auto"/>
        <w:bottom w:val="none" w:sz="0" w:space="0" w:color="auto"/>
        <w:right w:val="none" w:sz="0" w:space="0" w:color="auto"/>
      </w:divBdr>
      <w:divsChild>
        <w:div w:id="436871777">
          <w:marLeft w:val="0"/>
          <w:marRight w:val="0"/>
          <w:marTop w:val="0"/>
          <w:marBottom w:val="0"/>
          <w:divBdr>
            <w:top w:val="none" w:sz="0" w:space="0" w:color="auto"/>
            <w:left w:val="none" w:sz="0" w:space="0" w:color="auto"/>
            <w:bottom w:val="none" w:sz="0" w:space="0" w:color="auto"/>
            <w:right w:val="none" w:sz="0" w:space="0" w:color="auto"/>
          </w:divBdr>
          <w:divsChild>
            <w:div w:id="1858152992">
              <w:marLeft w:val="0"/>
              <w:marRight w:val="0"/>
              <w:marTop w:val="0"/>
              <w:marBottom w:val="0"/>
              <w:divBdr>
                <w:top w:val="none" w:sz="0" w:space="0" w:color="auto"/>
                <w:left w:val="none" w:sz="0" w:space="0" w:color="auto"/>
                <w:bottom w:val="none" w:sz="0" w:space="0" w:color="auto"/>
                <w:right w:val="none" w:sz="0" w:space="0" w:color="auto"/>
              </w:divBdr>
              <w:divsChild>
                <w:div w:id="1776169156">
                  <w:marLeft w:val="0"/>
                  <w:marRight w:val="0"/>
                  <w:marTop w:val="0"/>
                  <w:marBottom w:val="0"/>
                  <w:divBdr>
                    <w:top w:val="none" w:sz="0" w:space="0" w:color="auto"/>
                    <w:left w:val="none" w:sz="0" w:space="0" w:color="auto"/>
                    <w:bottom w:val="none" w:sz="0" w:space="0" w:color="auto"/>
                    <w:right w:val="none" w:sz="0" w:space="0" w:color="auto"/>
                  </w:divBdr>
                  <w:divsChild>
                    <w:div w:id="1049231846">
                      <w:marLeft w:val="0"/>
                      <w:marRight w:val="0"/>
                      <w:marTop w:val="0"/>
                      <w:marBottom w:val="0"/>
                      <w:divBdr>
                        <w:top w:val="none" w:sz="0" w:space="0" w:color="auto"/>
                        <w:left w:val="none" w:sz="0" w:space="0" w:color="auto"/>
                        <w:bottom w:val="none" w:sz="0" w:space="0" w:color="auto"/>
                        <w:right w:val="none" w:sz="0" w:space="0" w:color="auto"/>
                      </w:divBdr>
                      <w:divsChild>
                        <w:div w:id="747191503">
                          <w:marLeft w:val="0"/>
                          <w:marRight w:val="0"/>
                          <w:marTop w:val="0"/>
                          <w:marBottom w:val="0"/>
                          <w:divBdr>
                            <w:top w:val="none" w:sz="0" w:space="0" w:color="auto"/>
                            <w:left w:val="none" w:sz="0" w:space="0" w:color="auto"/>
                            <w:bottom w:val="none" w:sz="0" w:space="0" w:color="auto"/>
                            <w:right w:val="none" w:sz="0" w:space="0" w:color="auto"/>
                          </w:divBdr>
                          <w:divsChild>
                            <w:div w:id="127817502">
                              <w:marLeft w:val="0"/>
                              <w:marRight w:val="0"/>
                              <w:marTop w:val="0"/>
                              <w:marBottom w:val="0"/>
                              <w:divBdr>
                                <w:top w:val="none" w:sz="0" w:space="0" w:color="auto"/>
                                <w:left w:val="none" w:sz="0" w:space="0" w:color="auto"/>
                                <w:bottom w:val="none" w:sz="0" w:space="0" w:color="auto"/>
                                <w:right w:val="none" w:sz="0" w:space="0" w:color="auto"/>
                              </w:divBdr>
                            </w:div>
                          </w:divsChild>
                        </w:div>
                        <w:div w:id="530260616">
                          <w:marLeft w:val="0"/>
                          <w:marRight w:val="0"/>
                          <w:marTop w:val="0"/>
                          <w:marBottom w:val="0"/>
                          <w:divBdr>
                            <w:top w:val="none" w:sz="0" w:space="0" w:color="auto"/>
                            <w:left w:val="none" w:sz="0" w:space="0" w:color="auto"/>
                            <w:bottom w:val="none" w:sz="0" w:space="0" w:color="auto"/>
                            <w:right w:val="none" w:sz="0" w:space="0" w:color="auto"/>
                          </w:divBdr>
                          <w:divsChild>
                            <w:div w:id="1933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33DEF-87A4-42B0-8422-01412087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3365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dc:creator>
  <cp:lastModifiedBy>Michel Brousseau</cp:lastModifiedBy>
  <cp:revision>2</cp:revision>
  <cp:lastPrinted>2017-01-03T15:37:00Z</cp:lastPrinted>
  <dcterms:created xsi:type="dcterms:W3CDTF">2018-04-05T17:32:00Z</dcterms:created>
  <dcterms:modified xsi:type="dcterms:W3CDTF">2018-04-05T17:32:00Z</dcterms:modified>
</cp:coreProperties>
</file>